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6C" w:rsidRPr="002605D6" w:rsidRDefault="002605D6">
      <w:pPr>
        <w:rPr>
          <w:rFonts w:ascii="Times New Roman" w:hAnsi="Times New Roman" w:cs="Times New Roman"/>
          <w:sz w:val="24"/>
          <w:szCs w:val="24"/>
        </w:rPr>
      </w:pPr>
      <w:r w:rsidRPr="002605D6">
        <w:rPr>
          <w:rStyle w:val="a3"/>
          <w:rFonts w:ascii="Times New Roman" w:hAnsi="Times New Roman" w:cs="Times New Roman"/>
          <w:sz w:val="24"/>
          <w:szCs w:val="24"/>
        </w:rPr>
        <w:t xml:space="preserve"> «</w:t>
      </w:r>
      <w:r w:rsidRPr="002605D6">
        <w:rPr>
          <w:rFonts w:ascii="Times New Roman" w:hAnsi="Times New Roman" w:cs="Times New Roman"/>
          <w:b/>
          <w:sz w:val="24"/>
          <w:szCs w:val="24"/>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r w:rsidRPr="002605D6">
        <w:rPr>
          <w:rFonts w:ascii="Times New Roman" w:hAnsi="Times New Roman" w:cs="Times New Roman"/>
          <w:sz w:val="24"/>
          <w:szCs w:val="24"/>
        </w:rPr>
        <w:t xml:space="preserve"> </w:t>
      </w:r>
    </w:p>
    <w:p w:rsidR="002605D6" w:rsidRPr="002605D6" w:rsidRDefault="003A57B9" w:rsidP="002605D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lang w:eastAsia="ru-RU"/>
        </w:rPr>
        <w:t xml:space="preserve">В </w:t>
      </w:r>
      <w:bookmarkEnd w:id="0"/>
      <w:r w:rsidR="002605D6" w:rsidRPr="002605D6">
        <w:rPr>
          <w:rFonts w:ascii="Times New Roman" w:eastAsia="Times New Roman" w:hAnsi="Times New Roman" w:cs="Times New Roman"/>
          <w:sz w:val="24"/>
          <w:szCs w:val="24"/>
          <w:lang w:eastAsia="ru-RU"/>
        </w:rPr>
        <w:t>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2605D6" w:rsidRPr="002605D6" w:rsidRDefault="002605D6" w:rsidP="002605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Методические рекомендации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прокуратуры Российской Федерации и иных заинтересованных федеральных государственных органов.</w:t>
      </w:r>
    </w:p>
    <w:p w:rsidR="002605D6" w:rsidRPr="002605D6" w:rsidRDefault="002605D6" w:rsidP="002605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В ходе использования в работе Методических рекомендаций Минтруд России предлагает обратить внимание на следующее.</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В преамбуле Методических рекомендаций акцентировано внимание читателей на то, что консультативную и методическую помощь государственным и муниципальным служащим (далее – служащие), а также 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 (далее – подразделение).</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в подразделение, в котором лицо замещало должность на отчетную дату, в случае перевода в период декларационной кампании, а также положения о представлении сведений в случае увольнения в период декларационной кампании.</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В пункте 34 Методических рекомендаций отмечено, что сведения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Также в Методических рекомендациях процитированы положения из Инструкции о порядке заполнения справки о доходах, расходах, об имуществе и обязательствах имущественного характера (далее – справка) с использованием специального программного обеспечения "Справки БК".</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Дополнительно уточнено, что выплаты денежных сумм, осуществленные на основании договоров страхования, подлежат отражению в разделе 1 справки. При этом в отношении договоров страхования, поименованных в подпункте 3 пункта158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 xml:space="preserve">В Методических рекомендациях отмечено, что 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 </w:t>
      </w:r>
      <w:r w:rsidRPr="002605D6">
        <w:rPr>
          <w:rFonts w:ascii="Times New Roman" w:eastAsia="Times New Roman" w:hAnsi="Times New Roman" w:cs="Times New Roman"/>
          <w:sz w:val="24"/>
          <w:szCs w:val="24"/>
          <w:lang w:eastAsia="ru-RU"/>
        </w:rPr>
        <w:lastRenderedPageBreak/>
        <w:t>2 справки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Отмечено, что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(в том числе в подразделе 6.1 раздела 6 справки).</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Методические рекомендации дополнены положением, согласно которому,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в частности, регистрация транспортных средств носит учетный характер и не служит основанием для возникновения (прекращения) на них права собственности.</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Отмечено, что в графе "Место регистрации" подраздела 3.2 раздела 3 справки допускается указание кода подразделения ГИБДД в соответствии со свидетельством о регистрации транспортного средства.</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 xml:space="preserve">В разделе 4 справки необходимо отражать информацию о номинальных счетах и счетах </w:t>
      </w:r>
      <w:proofErr w:type="spellStart"/>
      <w:r w:rsidRPr="002605D6">
        <w:rPr>
          <w:rFonts w:ascii="Times New Roman" w:eastAsia="Times New Roman" w:hAnsi="Times New Roman" w:cs="Times New Roman"/>
          <w:sz w:val="24"/>
          <w:szCs w:val="24"/>
          <w:lang w:eastAsia="ru-RU"/>
        </w:rPr>
        <w:t>эскроу</w:t>
      </w:r>
      <w:proofErr w:type="spellEnd"/>
      <w:r w:rsidRPr="002605D6">
        <w:rPr>
          <w:rFonts w:ascii="Times New Roman" w:eastAsia="Times New Roman" w:hAnsi="Times New Roman" w:cs="Times New Roman"/>
          <w:sz w:val="24"/>
          <w:szCs w:val="24"/>
          <w:lang w:eastAsia="ru-RU"/>
        </w:rPr>
        <w:t>, а также о счетах, открытых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В части графы "Основание участия" подраздела 5.1 раздела 5 справки предусмотрено, что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Одновременно для графы "Номинальная величина обязательства" подраздела 5.2 раздела 5 справки предусмотрено, что отражается информация о цене, которая определена эмитентом при выпуске ценной бумаги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Также в Методических рекомендациях указано, что информация о наличии банковских счетов может быть получена лицом, в отношении которого представляется справка, у ФНС России.</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Уточнены условия, при которых не требуется в подразделе 6.1 раздела 6 справки одного из супругов указывать все объекты недвижимости, находящиеся в собственности другого супруга (отсутствует фактическое пользование этим объектом супругом и эти объекты указаны в подразделе 3.1 справки одного из супругов (аналогично в отношении несовершеннолетних детей)).</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Также конкретизированы положения о размере обязательства для целей заполнения подраздела 6.2 раздела 6 справки: указывается оставшийся непогашенным долг с суммой процентов, начисленных по состоянию на отчетную дату, а не до конца периода кредитования.</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lastRenderedPageBreak/>
        <w:t>Методические рекомендации дополнены примерами срочных обязательств финансового характера, которые подлежат отражению при наличии обстоятельств (выкупленная дебиторская задолженность финансовые обязательства, участником которой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 и не подлежат отражению (договор срочного банковского вклада).</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В отношении подраздела 6.2 раздела 6 справки подробно раскрыт порядок отражения обязательств, возникающих в соответствии с Законом Российской Федерации от 27 ноября 1992 года № 4015-1 "Об организации страхового дела в Российской Федерации".</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Также в Методических рекомендациях указано, что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2605D6" w:rsidRPr="002605D6" w:rsidRDefault="002605D6" w:rsidP="002605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605D6">
        <w:rPr>
          <w:rFonts w:ascii="Times New Roman" w:eastAsia="Times New Roman" w:hAnsi="Times New Roman" w:cs="Times New Roman"/>
          <w:sz w:val="24"/>
          <w:szCs w:val="24"/>
          <w:lang w:eastAsia="ru-RU"/>
        </w:rPr>
        <w:t>Положения Методических рекомендаций актуализированы с учетом изменений нормативных правовых актов Российской Федерации.</w:t>
      </w:r>
    </w:p>
    <w:p w:rsidR="002605D6" w:rsidRPr="002605D6" w:rsidRDefault="003A57B9" w:rsidP="002605D6">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 w:history="1">
        <w:r w:rsidR="002605D6" w:rsidRPr="002605D6">
          <w:rPr>
            <w:rFonts w:ascii="Times New Roman" w:eastAsia="Times New Roman" w:hAnsi="Times New Roman" w:cs="Times New Roman"/>
            <w:color w:val="0000FF"/>
            <w:sz w:val="24"/>
            <w:szCs w:val="24"/>
            <w:u w:val="single"/>
            <w:lang w:eastAsia="ru-RU"/>
          </w:rPr>
          <w:t>https://rosmintrud.ru/ministry/programms/anticorruption/9/5</w:t>
        </w:r>
      </w:hyperlink>
    </w:p>
    <w:p w:rsidR="002605D6" w:rsidRPr="002605D6" w:rsidRDefault="002605D6">
      <w:pPr>
        <w:rPr>
          <w:rFonts w:ascii="Times New Roman" w:hAnsi="Times New Roman" w:cs="Times New Roman"/>
          <w:sz w:val="24"/>
          <w:szCs w:val="24"/>
        </w:rPr>
      </w:pPr>
    </w:p>
    <w:p w:rsidR="002605D6" w:rsidRPr="002605D6" w:rsidRDefault="002605D6">
      <w:pPr>
        <w:rPr>
          <w:rFonts w:ascii="Times New Roman" w:hAnsi="Times New Roman" w:cs="Times New Roman"/>
          <w:sz w:val="24"/>
          <w:szCs w:val="24"/>
        </w:rPr>
      </w:pPr>
    </w:p>
    <w:sectPr w:rsidR="002605D6" w:rsidRPr="00260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D4273"/>
    <w:multiLevelType w:val="multilevel"/>
    <w:tmpl w:val="F2D8F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AD"/>
    <w:rsid w:val="002605D6"/>
    <w:rsid w:val="003A57B9"/>
    <w:rsid w:val="006471AD"/>
    <w:rsid w:val="00704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CC45A-133E-4EEF-8B52-7B15540C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0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6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osmintrud.ru/ministry/programms/anticorruption/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Host_user</cp:lastModifiedBy>
  <cp:revision>3</cp:revision>
  <dcterms:created xsi:type="dcterms:W3CDTF">2020-01-09T12:21:00Z</dcterms:created>
  <dcterms:modified xsi:type="dcterms:W3CDTF">2020-01-09T15:04:00Z</dcterms:modified>
</cp:coreProperties>
</file>